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5" w:name="X1500de4a34dd18e616ac22f37f1112993b25525"/>
    <w:p>
      <w:pPr>
        <w:pStyle w:val="Heading2"/>
      </w:pPr>
      <w:r>
        <w:t xml:space="preserve">Ex.mo Senhor Juiz de Instrução Criminal n.º 4</w:t>
      </w:r>
    </w:p>
    <w:bookmarkStart w:id="9" w:name="tribunal-judicial-de-lisboa"/>
    <w:p>
      <w:pPr>
        <w:pStyle w:val="Heading3"/>
      </w:pPr>
      <w:r>
        <w:t xml:space="preserve">Tribunal Judicial de Lisboa</w:t>
      </w:r>
    </w:p>
    <w:p>
      <w:pPr>
        <w:pStyle w:val="FirstParagraph"/>
      </w:pPr>
      <w:r>
        <w:rPr>
          <w:b/>
          <w:bCs/>
        </w:rPr>
        <w:t xml:space="preserve">Processo n.º 2023/0456</w:t>
      </w:r>
      <w:r>
        <w:t xml:space="preserve"> </w:t>
      </w:r>
      <w:r>
        <w:t xml:space="preserve">– Burla Informática por Phishing</w:t>
      </w:r>
    </w:p>
    <w:p>
      <w:pPr>
        <w:pStyle w:val="BodyText"/>
      </w:pPr>
      <w:r>
        <w:rPr>
          <w:b/>
          <w:bCs/>
        </w:rPr>
        <w:t xml:space="preserve">Requerente:</w:t>
      </w:r>
      <w:r>
        <w:t xml:space="preserve"> </w:t>
      </w:r>
      <w:r>
        <w:t xml:space="preserve">Ministério Público, representado pela Procuradora</w:t>
      </w:r>
      <w:r>
        <w:t xml:space="preserve"> </w:t>
      </w:r>
      <w:r>
        <w:rPr>
          <w:b/>
          <w:bCs/>
        </w:rPr>
        <w:t xml:space="preserve">Drª Marta Santos</w:t>
      </w:r>
      <w:r>
        <w:t xml:space="preserve">, OA 54321, com sede na Rua da Prata, n.º 45, 1150‑269 Lisboa.</w:t>
      </w:r>
    </w:p>
    <w:p>
      <w:pPr>
        <w:pStyle w:val="BodyText"/>
      </w:pPr>
      <w:r>
        <w:rPr>
          <w:b/>
          <w:bCs/>
        </w:rPr>
        <w:t xml:space="preserve">Requerido:</w:t>
      </w:r>
      <w:r>
        <w:t xml:space="preserve"> </w:t>
      </w:r>
      <w:r>
        <w:t xml:space="preserve">João da Silva, residente em Rua da Boavista, n.º 12, 2.º Esq., 1200‑100 Lisboa, NIF 123 456 789.</w:t>
      </w:r>
    </w:p>
    <w:p>
      <w:r>
        <w:pict>
          <v:rect style="width:0;height:1.5pt" o:hralign="center" o:hrstd="t" o:hr="t"/>
        </w:pict>
      </w:r>
    </w:p>
    <w:bookmarkEnd w:id="9"/>
    <w:bookmarkStart w:id="14" w:name="pedido-de-perícia-informática"/>
    <w:p>
      <w:pPr>
        <w:pStyle w:val="Heading3"/>
      </w:pPr>
      <w:r>
        <w:rPr>
          <w:b/>
          <w:bCs/>
        </w:rPr>
        <w:t xml:space="preserve">PEDIDO DE PERÍCIA INFORMÁTICA</w:t>
      </w:r>
    </w:p>
    <w:bookmarkStart w:id="10" w:name="i.-exposição-dos-factos"/>
    <w:p>
      <w:pPr>
        <w:pStyle w:val="Heading4"/>
      </w:pPr>
      <w:r>
        <w:t xml:space="preserve">I. Exposição dos Factos</w:t>
      </w:r>
    </w:p>
    <w:p>
      <w:pPr>
        <w:numPr>
          <w:ilvl w:val="0"/>
          <w:numId w:val="1001"/>
        </w:numPr>
      </w:pPr>
      <w:r>
        <w:t xml:space="preserve">Nos dias</w:t>
      </w:r>
      <w:r>
        <w:t xml:space="preserve"> </w:t>
      </w:r>
      <w:r>
        <w:rPr>
          <w:b/>
          <w:bCs/>
        </w:rPr>
        <w:t xml:space="preserve">10, 14, 18 e 25 de março de 2023</w:t>
      </w:r>
      <w:r>
        <w:t xml:space="preserve">, foram efetuadas, por intermédio de correio eletrónico fraudulento (phishing), três transferências bancárias no total de</w:t>
      </w:r>
      <w:r>
        <w:t xml:space="preserve"> </w:t>
      </w:r>
      <w:r>
        <w:rPr>
          <w:b/>
          <w:bCs/>
        </w:rPr>
        <w:t xml:space="preserve">€ 32 000,00</w:t>
      </w:r>
      <w:r>
        <w:t xml:space="preserve"> </w:t>
      </w:r>
      <w:r>
        <w:t xml:space="preserve">a favor de contas bancárias de titularidade desconhecida, configurando, segundo o Ministério Público, a prática de</w:t>
      </w:r>
      <w:r>
        <w:t xml:space="preserve"> </w:t>
      </w:r>
      <w:r>
        <w:rPr>
          <w:b/>
          <w:bCs/>
        </w:rPr>
        <w:t xml:space="preserve">burla informática</w:t>
      </w:r>
      <w:r>
        <w:t xml:space="preserve"> </w:t>
      </w:r>
      <w:r>
        <w:t xml:space="preserve">prevista no artigo 217.º do Código Penal.</w:t>
      </w:r>
    </w:p>
    <w:p>
      <w:pPr>
        <w:numPr>
          <w:ilvl w:val="0"/>
          <w:numId w:val="1001"/>
        </w:numPr>
      </w:pPr>
      <w:r>
        <w:t xml:space="preserve">A investigação já recolheu, em sede de inquérito, os seguintes elementos eletrónicos:</w:t>
      </w:r>
    </w:p>
    <w:p>
      <w:pPr>
        <w:pStyle w:val="Compact"/>
        <w:numPr>
          <w:ilvl w:val="1"/>
          <w:numId w:val="1002"/>
        </w:numPr>
      </w:pPr>
      <w:r>
        <w:rPr>
          <w:b/>
          <w:bCs/>
        </w:rPr>
        <w:t xml:space="preserve">E‑mails</w:t>
      </w:r>
      <w:r>
        <w:t xml:space="preserve"> </w:t>
      </w:r>
      <w:r>
        <w:t xml:space="preserve">enviados ao réu e a terceiros (cópias completas, cabeçalhos completos e anexos).</w:t>
      </w:r>
      <w:r>
        <w:br/>
      </w:r>
    </w:p>
    <w:p>
      <w:pPr>
        <w:pStyle w:val="Compact"/>
        <w:numPr>
          <w:ilvl w:val="1"/>
          <w:numId w:val="1002"/>
        </w:numPr>
      </w:pPr>
      <w:r>
        <w:rPr>
          <w:b/>
          <w:bCs/>
        </w:rPr>
        <w:t xml:space="preserve">Registos de acesso</w:t>
      </w:r>
      <w:r>
        <w:t xml:space="preserve"> </w:t>
      </w:r>
      <w:r>
        <w:t xml:space="preserve">ao portal bancário do réu (logs de IP, timestamps, dispositivos utilizados).</w:t>
      </w:r>
      <w:r>
        <w:br/>
      </w:r>
    </w:p>
    <w:p>
      <w:pPr>
        <w:pStyle w:val="Compact"/>
        <w:numPr>
          <w:ilvl w:val="1"/>
          <w:numId w:val="1002"/>
        </w:numPr>
      </w:pPr>
      <w:r>
        <w:rPr>
          <w:b/>
          <w:bCs/>
        </w:rPr>
        <w:t xml:space="preserve">Capturas de ecrã</w:t>
      </w:r>
      <w:r>
        <w:t xml:space="preserve"> </w:t>
      </w:r>
      <w:r>
        <w:t xml:space="preserve">apresentadas pelo réu que supostamente demonstram a sua boa‑fé.</w:t>
      </w:r>
    </w:p>
    <w:p>
      <w:pPr>
        <w:numPr>
          <w:ilvl w:val="0"/>
          <w:numId w:val="1001"/>
        </w:numPr>
      </w:pPr>
      <w:r>
        <w:t xml:space="preserve">A complexidade técnica dos documentos recolhidos requer a intervenção de perito especializado em informática forense, de modo a:</w:t>
      </w:r>
    </w:p>
    <w:p>
      <w:pPr>
        <w:pStyle w:val="Compact"/>
        <w:numPr>
          <w:ilvl w:val="1"/>
          <w:numId w:val="1003"/>
        </w:numPr>
      </w:pPr>
      <w:r>
        <w:t xml:space="preserve">Verificar a autenticidade dos e‑mails e identificar eventuais falsificações de cabeçalhos.</w:t>
      </w:r>
      <w:r>
        <w:br/>
      </w:r>
    </w:p>
    <w:p>
      <w:pPr>
        <w:pStyle w:val="Compact"/>
        <w:numPr>
          <w:ilvl w:val="1"/>
          <w:numId w:val="1003"/>
        </w:numPr>
      </w:pPr>
      <w:r>
        <w:t xml:space="preserve">Correlacionar os registos de acesso com os endereços IP de origem e determinar a possibilidade de spoofing.</w:t>
      </w:r>
      <w:r>
        <w:br/>
      </w:r>
    </w:p>
    <w:p>
      <w:pPr>
        <w:pStyle w:val="Compact"/>
        <w:numPr>
          <w:ilvl w:val="1"/>
          <w:numId w:val="1003"/>
        </w:numPr>
      </w:pPr>
      <w:r>
        <w:t xml:space="preserve">Avaliar a existência de malware ou scripts automatizados que tenham facilitado a captura de credenciais bancárias.</w:t>
      </w:r>
    </w:p>
    <w:bookmarkEnd w:id="10"/>
    <w:bookmarkStart w:id="11" w:name="ii.-fundamentação-jurídica"/>
    <w:p>
      <w:pPr>
        <w:pStyle w:val="Heading4"/>
      </w:pPr>
      <w:r>
        <w:t xml:space="preserve">II. Fundamentação Jurídica</w:t>
      </w:r>
    </w:p>
    <w:p>
      <w:pPr>
        <w:numPr>
          <w:ilvl w:val="0"/>
          <w:numId w:val="1004"/>
        </w:numPr>
      </w:pPr>
      <w:r>
        <w:t xml:space="preserve">Nos termos do</w:t>
      </w:r>
      <w:r>
        <w:t xml:space="preserve"> </w:t>
      </w:r>
      <w:r>
        <w:rPr>
          <w:b/>
          <w:bCs/>
        </w:rPr>
        <w:t xml:space="preserve">artigo 562.º do Código de Processo Civil</w:t>
      </w:r>
      <w:r>
        <w:t xml:space="preserve">, o juiz pode, a requerimento da parte, determinar a prática de prova pericial quando a verificação de factos dependa de conhecimentos técnicos especializados.</w:t>
      </w:r>
    </w:p>
    <w:p>
      <w:pPr>
        <w:numPr>
          <w:ilvl w:val="0"/>
          <w:numId w:val="1004"/>
        </w:numPr>
      </w:pPr>
      <w:r>
        <w:t xml:space="preserve">O</w:t>
      </w:r>
      <w:r>
        <w:t xml:space="preserve"> </w:t>
      </w:r>
      <w:r>
        <w:rPr>
          <w:b/>
          <w:bCs/>
        </w:rPr>
        <w:t xml:space="preserve">artigo 563.º</w:t>
      </w:r>
      <w:r>
        <w:t xml:space="preserve"> </w:t>
      </w:r>
      <w:r>
        <w:t xml:space="preserve">dispõe que a perícia deve ser realizada por perito ou peritos nomeados pelo juiz, devendo ser especificado o objeto da perícia e o prazo para a sua conclusão.</w:t>
      </w:r>
    </w:p>
    <w:p>
      <w:pPr>
        <w:numPr>
          <w:ilvl w:val="0"/>
          <w:numId w:val="1004"/>
        </w:numPr>
      </w:pPr>
      <w:r>
        <w:t xml:space="preserve">Nos termos do</w:t>
      </w:r>
      <w:r>
        <w:t xml:space="preserve"> </w:t>
      </w:r>
      <w:r>
        <w:rPr>
          <w:b/>
          <w:bCs/>
        </w:rPr>
        <w:t xml:space="preserve">artigo 217.º do Código Penal</w:t>
      </w:r>
      <w:r>
        <w:t xml:space="preserve">, a prática de burla informática exige a demonstração de intenção criminosa e a utilização de meios informáticos para enganar a vítima; a perícia requerida é imprescindível para comprovar a inexistência de culpa do réu e a eventual responsabilidade de terceiros.</w:t>
      </w:r>
    </w:p>
    <w:bookmarkEnd w:id="11"/>
    <w:bookmarkStart w:id="12" w:name="iii.-pedido"/>
    <w:p>
      <w:pPr>
        <w:pStyle w:val="Heading4"/>
      </w:pPr>
      <w:r>
        <w:t xml:space="preserve">III. Pedido</w:t>
      </w:r>
    </w:p>
    <w:p>
      <w:pPr>
        <w:pStyle w:val="FirstParagraph"/>
      </w:pPr>
      <w:r>
        <w:rPr>
          <w:b/>
          <w:bCs/>
        </w:rPr>
        <w:t xml:space="preserve">Por tudo o que se expõe, o Ministério Público requer a V. Exa. que: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131"/>
        <w:gridCol w:w="2262"/>
        <w:gridCol w:w="4525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Nº</w:t>
            </w:r>
          </w:p>
        </w:tc>
        <w:tc>
          <w:tcPr/>
          <w:p>
            <w:pPr>
              <w:pStyle w:val="Compact"/>
            </w:pPr>
            <w:r>
              <w:t xml:space="preserve">Pedido</w:t>
            </w:r>
          </w:p>
        </w:tc>
        <w:tc>
          <w:tcPr/>
          <w:p>
            <w:pPr>
              <w:pStyle w:val="Compact"/>
            </w:pPr>
            <w:r>
              <w:t xml:space="preserve">Fundamentação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Nomeação de perito informático</w:t>
            </w:r>
            <w:r>
              <w:t xml:space="preserve"> </w:t>
            </w:r>
            <w:r>
              <w:t xml:space="preserve">(ou equipa de peritos) com experiência reconhecida em investigação de crimes cibernéticos e certificação ISO/IEC 27037.</w:t>
            </w:r>
          </w:p>
        </w:tc>
        <w:tc>
          <w:tcPr/>
          <w:p>
            <w:pPr>
              <w:pStyle w:val="Compact"/>
            </w:pPr>
            <w:r>
              <w:t xml:space="preserve">Artigos 562.º e 563.º CPC.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Definição do objeto da perícia</w:t>
            </w:r>
            <w:r>
              <w:t xml:space="preserve">, consistindo em:</w:t>
            </w:r>
            <w:r>
              <w:t xml:space="preserve"> </w:t>
            </w:r>
            <w:r>
              <w:t xml:space="preserve"> </w:t>
            </w:r>
            <w:r>
              <w:t xml:space="preserve">a) Análise de autenticidade e integridade dos e‑mails (cabeçalhos, DKIM, SPF, DMARC);</w:t>
            </w:r>
            <w:r>
              <w:t xml:space="preserve"> </w:t>
            </w:r>
            <w:r>
              <w:t xml:space="preserve"> </w:t>
            </w:r>
            <w:r>
              <w:t xml:space="preserve">b) Exame dos registos de acesso ao portal bancário (logs de IP, dispositivos, horários);</w:t>
            </w:r>
            <w:r>
              <w:t xml:space="preserve"> </w:t>
            </w:r>
            <w:r>
              <w:t xml:space="preserve"> </w:t>
            </w:r>
            <w:r>
              <w:t xml:space="preserve">c) Identificação de possíveis malwares ou scripts de captura de credenciais.</w:t>
            </w:r>
          </w:p>
        </w:tc>
        <w:tc>
          <w:tcPr/>
          <w:p>
            <w:pPr>
              <w:pStyle w:val="Compact"/>
            </w:pPr>
            <w:r>
              <w:t xml:space="preserve">Art. 563.º CPC.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Fixação de prazo</w:t>
            </w:r>
            <w:r>
              <w:t xml:space="preserve"> </w:t>
            </w:r>
            <w:r>
              <w:t xml:space="preserve">para a entrega do laudo pericial, não superior a</w:t>
            </w:r>
            <w:r>
              <w:t xml:space="preserve"> </w:t>
            </w:r>
            <w:r>
              <w:rPr>
                <w:b/>
                <w:bCs/>
              </w:rPr>
              <w:t xml:space="preserve">30 (trinta) dias</w:t>
            </w:r>
            <w:r>
              <w:t xml:space="preserve"> </w:t>
            </w:r>
            <w:r>
              <w:t xml:space="preserve">a contar da sua nomeação, nos termos do art. 564.º CPC.</w:t>
            </w:r>
          </w:p>
        </w:tc>
        <w:tc>
          <w:tcPr/>
          <w:p>
            <w:pPr>
              <w:pStyle w:val="Compact"/>
            </w:pPr>
            <w:r>
              <w:t xml:space="preserve">Art. 564.º CPC.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Comunicação dos resultados</w:t>
            </w:r>
            <w:r>
              <w:t xml:space="preserve"> </w:t>
            </w:r>
            <w:r>
              <w:t xml:space="preserve">ao Ministério Público e à defesa, permitindo a interrogação do perito em audiência de julgamento, nos termos do art. 573.º CPC.</w:t>
            </w:r>
          </w:p>
        </w:tc>
        <w:tc>
          <w:tcPr/>
          <w:p>
            <w:pPr>
              <w:pStyle w:val="Compact"/>
            </w:pPr>
            <w:r>
              <w:t xml:space="preserve">Art. 573.º CPC.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Armazenamento e preservação</w:t>
            </w:r>
            <w:r>
              <w:t xml:space="preserve"> </w:t>
            </w:r>
            <w:r>
              <w:t xml:space="preserve">dos elementos eletrónicos em ambiente forense certificado, garantindo a cadeia de custódia, conforme as boas práticas de informática forense.</w:t>
            </w:r>
          </w:p>
        </w:tc>
        <w:tc>
          <w:tcPr/>
          <w:p>
            <w:pPr>
              <w:pStyle w:val="Compact"/>
            </w:pPr>
            <w:r>
              <w:t xml:space="preserve">Decreto‑Lei n.º 8/2019, de 13 de fevereiro.</w:t>
            </w:r>
          </w:p>
        </w:tc>
      </w:tr>
    </w:tbl>
    <w:bookmarkEnd w:id="12"/>
    <w:bookmarkStart w:id="13" w:name="iv.-conclusão"/>
    <w:p>
      <w:pPr>
        <w:pStyle w:val="Heading4"/>
      </w:pPr>
      <w:r>
        <w:t xml:space="preserve">IV. Conclusão</w:t>
      </w:r>
    </w:p>
    <w:p>
      <w:pPr>
        <w:pStyle w:val="FirstParagraph"/>
      </w:pPr>
      <w:r>
        <w:t xml:space="preserve">A nomeação do perito informático solicitado reveste‑se de urgência, uma vez que a prova pericial é condição essencial para a elucidação dos factos e para a correta aplicação da lei penal ao caso em apreço. A inexistência de tal perícia poderia comprometer a defesa do réu e a própria instrução criminal.</w:t>
      </w:r>
    </w:p>
    <w:p>
      <w:pPr>
        <w:pStyle w:val="BodyText"/>
      </w:pPr>
      <w:r>
        <w:t xml:space="preserve">Nestes termos,</w:t>
      </w:r>
      <w:r>
        <w:t xml:space="preserve"> </w:t>
      </w:r>
      <w:r>
        <w:rPr>
          <w:b/>
          <w:bCs/>
        </w:rPr>
        <w:t xml:space="preserve">pede deferimento</w:t>
      </w:r>
      <w:r>
        <w:t xml:space="preserve">.</w:t>
      </w:r>
    </w:p>
    <w:p>
      <w:pPr>
        <w:pStyle w:val="BodyText"/>
      </w:pPr>
      <w:r>
        <w:t xml:space="preserve">Lisboa,</w:t>
      </w:r>
      <w:r>
        <w:t xml:space="preserve"> </w:t>
      </w:r>
      <w:r>
        <w:rPr>
          <w:b/>
          <w:bCs/>
        </w:rPr>
        <w:t xml:space="preserve">15 de fevereiro de 2026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Drª Marta Santos</w:t>
      </w:r>
      <w:r>
        <w:br/>
      </w:r>
      <w:r>
        <w:t xml:space="preserve">Procuradora do Ministério Público – OA 54321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Dr. Ana Pereira</w:t>
      </w:r>
      <w:r>
        <w:br/>
      </w:r>
      <w:r>
        <w:t xml:space="preserve">Advogada de defesa – OA 12345 (representante do réu)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Dr. Luís Carvalho</w:t>
      </w:r>
      <w:r>
        <w:br/>
      </w:r>
      <w:r>
        <w:t xml:space="preserve">Advogado de defesa – OA 67890 (representante do réu)</w:t>
      </w:r>
    </w:p>
    <w:bookmarkEnd w:id="13"/>
    <w:bookmarkEnd w:id="14"/>
    <w:bookmarkEnd w:id="15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2026-02-22T19:01:58Z</dcterms:created>
  <dcterms:modified xsi:type="dcterms:W3CDTF">2026-02-22T19:01:58Z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